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044" w:rsidRDefault="005512C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1714500" cy="64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6044" w:rsidRDefault="005512CA">
      <w:pPr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color w:val="0000FF"/>
          <w:sz w:val="24"/>
          <w:szCs w:val="24"/>
        </w:rPr>
        <w:t>S</w:t>
      </w:r>
      <w:r>
        <w:rPr>
          <w:rFonts w:ascii="Book Antiqua" w:eastAsia="Book Antiqua" w:hAnsi="Book Antiqua" w:cs="Book Antiqua"/>
          <w:i/>
          <w:color w:val="0000FF"/>
          <w:sz w:val="24"/>
          <w:szCs w:val="24"/>
        </w:rPr>
        <w:t xml:space="preserve">indacato </w:t>
      </w:r>
      <w:r>
        <w:rPr>
          <w:rFonts w:ascii="Book Antiqua" w:eastAsia="Book Antiqua" w:hAnsi="Book Antiqua" w:cs="Book Antiqua"/>
          <w:b/>
          <w:i/>
          <w:color w:val="0000FF"/>
          <w:sz w:val="24"/>
          <w:szCs w:val="24"/>
        </w:rPr>
        <w:t>A</w:t>
      </w:r>
      <w:r>
        <w:rPr>
          <w:rFonts w:ascii="Book Antiqua" w:eastAsia="Book Antiqua" w:hAnsi="Book Antiqua" w:cs="Book Antiqua"/>
          <w:i/>
          <w:color w:val="0000FF"/>
          <w:sz w:val="24"/>
          <w:szCs w:val="24"/>
        </w:rPr>
        <w:t xml:space="preserve">utonomo </w:t>
      </w:r>
      <w:r>
        <w:rPr>
          <w:rFonts w:ascii="Book Antiqua" w:eastAsia="Book Antiqua" w:hAnsi="Book Antiqua" w:cs="Book Antiqua"/>
          <w:b/>
          <w:i/>
          <w:color w:val="0000FF"/>
          <w:sz w:val="24"/>
          <w:szCs w:val="24"/>
        </w:rPr>
        <w:t>L</w:t>
      </w:r>
      <w:r>
        <w:rPr>
          <w:rFonts w:ascii="Book Antiqua" w:eastAsia="Book Antiqua" w:hAnsi="Book Antiqua" w:cs="Book Antiqua"/>
          <w:i/>
          <w:color w:val="0000FF"/>
          <w:sz w:val="24"/>
          <w:szCs w:val="24"/>
        </w:rPr>
        <w:t xml:space="preserve">avoratori della </w:t>
      </w:r>
      <w:r>
        <w:rPr>
          <w:rFonts w:ascii="Book Antiqua" w:eastAsia="Book Antiqua" w:hAnsi="Book Antiqua" w:cs="Book Antiqua"/>
          <w:b/>
          <w:i/>
          <w:color w:val="0000FF"/>
          <w:sz w:val="24"/>
          <w:szCs w:val="24"/>
        </w:rPr>
        <w:t>Scuola</w:t>
      </w:r>
    </w:p>
    <w:p w:rsidR="00986044" w:rsidRDefault="005512CA">
      <w:pPr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Gli Uffici della Sede provinciale di Cremona - v.le Trento Trieste 20 - sono aperti al pubblico</w:t>
      </w:r>
    </w:p>
    <w:p w:rsidR="00986044" w:rsidRDefault="005512CA">
      <w:pPr>
        <w:numPr>
          <w:ilvl w:val="0"/>
          <w:numId w:val="2"/>
        </w:numPr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Martedì 15 – 17.30</w:t>
      </w:r>
    </w:p>
    <w:p w:rsidR="00986044" w:rsidRDefault="005512CA">
      <w:pPr>
        <w:numPr>
          <w:ilvl w:val="0"/>
          <w:numId w:val="2"/>
        </w:numPr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Giovedì 15 – 17.30</w:t>
      </w:r>
    </w:p>
    <w:p w:rsidR="00986044" w:rsidRDefault="005512CA">
      <w:pPr>
        <w:numPr>
          <w:ilvl w:val="0"/>
          <w:numId w:val="2"/>
        </w:numPr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Venerdì 9 - 12</w:t>
      </w:r>
    </w:p>
    <w:p w:rsidR="00986044" w:rsidRDefault="005512CA">
      <w:pPr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Contatti:</w:t>
      </w:r>
    </w:p>
    <w:p w:rsidR="00986044" w:rsidRDefault="005512CA">
      <w:pPr>
        <w:numPr>
          <w:ilvl w:val="0"/>
          <w:numId w:val="2"/>
        </w:numPr>
        <w:jc w:val="both"/>
        <w:rPr>
          <w:color w:val="0000FF"/>
          <w:sz w:val="24"/>
          <w:szCs w:val="24"/>
        </w:rPr>
      </w:pPr>
      <w:hyperlink r:id="rId8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/>
          </w:rPr>
          <w:t>lombardia.cr@intersnals.it</w:t>
        </w:r>
      </w:hyperlink>
    </w:p>
    <w:p w:rsidR="00986044" w:rsidRDefault="005512CA">
      <w:pPr>
        <w:numPr>
          <w:ilvl w:val="0"/>
          <w:numId w:val="2"/>
        </w:numPr>
        <w:jc w:val="both"/>
        <w:rPr>
          <w:color w:val="0000FF"/>
          <w:sz w:val="24"/>
          <w:szCs w:val="24"/>
        </w:rPr>
      </w:pPr>
      <w:hyperlink r:id="rId9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/>
          </w:rPr>
          <w:t>0372 413029</w:t>
        </w:r>
      </w:hyperlink>
      <w:r>
        <w:rPr>
          <w:rFonts w:ascii="Book Antiqua" w:eastAsia="Book Antiqua" w:hAnsi="Book Antiqua" w:cs="Book Antiqua"/>
          <w:sz w:val="24"/>
          <w:szCs w:val="24"/>
        </w:rPr>
        <w:t xml:space="preserve"> uffici</w:t>
      </w:r>
    </w:p>
    <w:p w:rsidR="00986044" w:rsidRDefault="00986044">
      <w:pPr>
        <w:rPr>
          <w:sz w:val="24"/>
          <w:szCs w:val="24"/>
        </w:rPr>
      </w:pPr>
    </w:p>
    <w:p w:rsidR="00986044" w:rsidRDefault="005512CA">
      <w:pPr>
        <w:keepNext/>
        <w:keepLines/>
        <w:numPr>
          <w:ilvl w:val="7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Alla RSU</w:t>
      </w:r>
    </w:p>
    <w:p w:rsidR="00986044" w:rsidRDefault="005512C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left="368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All’Albo sindacale</w:t>
      </w:r>
    </w:p>
    <w:p w:rsidR="00986044" w:rsidRDefault="005512C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left="368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e, p.c.</w:t>
      </w:r>
      <w:r>
        <w:rPr>
          <w:rFonts w:ascii="Arial" w:eastAsia="Arial" w:hAnsi="Arial" w:cs="Arial"/>
          <w:b/>
          <w:color w:val="000000"/>
        </w:rPr>
        <w:tab/>
        <w:t>Ai Dirigenti Scolastici</w:t>
      </w:r>
    </w:p>
    <w:p w:rsidR="00986044" w:rsidRDefault="005512C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left="368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Ai DSGA</w:t>
      </w:r>
    </w:p>
    <w:p w:rsidR="00986044" w:rsidRDefault="0098604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b/>
          <w:color w:val="000000"/>
        </w:rPr>
      </w:pPr>
    </w:p>
    <w:p w:rsidR="00986044" w:rsidRDefault="005512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21"/>
          <w:szCs w:val="21"/>
        </w:rPr>
        <w:t>NETTA CONTRARIETA’ ALL’IMPIEGO DEL PERSONALE DI SEGRETERIA DELLE ISTITUZIONI SCOLASTICHE IN ADEMPIMENTI BUROCRATICI DI COMPETENZA INPS</w:t>
      </w:r>
    </w:p>
    <w:p w:rsidR="00986044" w:rsidRDefault="0098604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7014"/>
      </w:tblGrid>
      <w:tr w:rsidR="00986044">
        <w:tc>
          <w:tcPr>
            <w:tcW w:w="2771" w:type="dxa"/>
            <w:vAlign w:val="center"/>
          </w:tcPr>
          <w:p w:rsidR="00986044" w:rsidRDefault="005512C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Comunicato stampa del Segretario Generale dello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Snals-Confsal</w:t>
            </w:r>
            <w:proofErr w:type="spellEnd"/>
          </w:p>
        </w:tc>
        <w:tc>
          <w:tcPr>
            <w:tcW w:w="7014" w:type="dxa"/>
            <w:vAlign w:val="center"/>
          </w:tcPr>
          <w:p w:rsidR="00986044" w:rsidRDefault="00551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/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Il Segretario Generale dello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Snals-Confsal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Elvira Serafini ritiene inaccettabili le nuove incombenze di tipo burocratico Inps che, ancora una volta, vengono “scaricate” sul personale di segreteria delle Istituzioni scolastiche. “Con il messaggio dell’INPS,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inviato alle scuole, che  riguarda l’attivazione dell’applicativo Nuova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PassWeb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per l’elaborazione del trattamento di fine servizio, si sta superando ogni limite”, afferma Serafini, “gli uffici di segreteria delle Istituzioni scolastiche, con organici al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lumicino  del tutto insufficienti a gestire l’ordinario, vengono costantemente coinvolti nella gestione anche dello straordinario, che per di più, nel caso in questione,  riguarda compiti non previsti dal CCNL e che non rientrano nelle competenze delle sc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uole ma in quelle dell’Inps. </w:t>
            </w:r>
          </w:p>
          <w:p w:rsidR="00986044" w:rsidRDefault="00551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/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 è inammissibile e grave che il personale amministrativo delle Istituzioni scolastiche sia chiamato a svolgere adempimenti di tipo previdenziale assumendosi responsabilità che, per loro stessa natura, sono di esclusiva perti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nenza INPS”, conclude Serafini.</w:t>
            </w:r>
          </w:p>
          <w:p w:rsidR="00986044" w:rsidRDefault="00551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/>
              <w:ind w:left="714" w:hanging="357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Snals-Confsal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ribadendo ancora una volta la sua netta contrarietà all’impiego del personale di segreteria per lo svolgimento delle pratiche pensionistiche sull’applicativo Nuova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PassWeb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chiede l’immediato ritiro delle 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isposizioni già impartite alle scuole ed un incontro al Miur per affrontare urgentemente le problematiche, non più rinviabili, di tutto il personale ATA.</w:t>
            </w:r>
          </w:p>
        </w:tc>
      </w:tr>
    </w:tbl>
    <w:p w:rsidR="00986044" w:rsidRDefault="0098604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6"/>
          <w:szCs w:val="16"/>
        </w:rPr>
      </w:pPr>
    </w:p>
    <w:p w:rsidR="00986044" w:rsidRDefault="0098604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6"/>
          <w:szCs w:val="16"/>
        </w:rPr>
      </w:pPr>
    </w:p>
    <w:sectPr w:rsidR="00986044">
      <w:footerReference w:type="default" r:id="rId10"/>
      <w:pgSz w:w="11906" w:h="16838"/>
      <w:pgMar w:top="56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2CA" w:rsidRDefault="005512CA">
      <w:r>
        <w:separator/>
      </w:r>
    </w:p>
  </w:endnote>
  <w:endnote w:type="continuationSeparator" w:id="0">
    <w:p w:rsidR="005512CA" w:rsidRDefault="0055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44" w:rsidRDefault="005512C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</w:rPr>
      <w:tab/>
    </w:r>
    <w:r>
      <w:rPr>
        <w:color w:val="000000"/>
      </w:rPr>
      <w:t>Da esporre all’albo della scuola ai sensi dell’art. 49 della Legge n. 249/1968</w:t>
    </w:r>
    <w:r>
      <w:rPr>
        <w:color w:val="000000"/>
      </w:rPr>
      <w:tab/>
      <w:t xml:space="preserve">Pagina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AB5740">
      <w:rPr>
        <w:color w:val="000000"/>
      </w:rPr>
      <w:fldChar w:fldCharType="separate"/>
    </w:r>
    <w:r w:rsidR="00AB5740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di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AB5740">
      <w:rPr>
        <w:color w:val="000000"/>
      </w:rPr>
      <w:fldChar w:fldCharType="separate"/>
    </w:r>
    <w:r w:rsidR="00AB574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2CA" w:rsidRDefault="005512CA">
      <w:r>
        <w:separator/>
      </w:r>
    </w:p>
  </w:footnote>
  <w:footnote w:type="continuationSeparator" w:id="0">
    <w:p w:rsidR="005512CA" w:rsidRDefault="0055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B3F54"/>
    <w:multiLevelType w:val="multilevel"/>
    <w:tmpl w:val="5EE4E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F57372C"/>
    <w:multiLevelType w:val="multilevel"/>
    <w:tmpl w:val="9CCE1EC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44"/>
    <w:rsid w:val="005512CA"/>
    <w:rsid w:val="00986044"/>
    <w:rsid w:val="00A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0E7E5-FCFD-434D-9022-C8F90AD8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7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bardia.cr@snal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it/search?source=hp&amp;ei=VHCuW5G9JqjPrgSttbrIDA&amp;q=snals+cremona&amp;oq=snals+cremona&amp;gs_l=psy-ab.3..0j0i22i30k1j38.5886.9090.0.9810.15.13.0.0.0.0.516.1866.2-3j2j0j1.7.0....0...1c.1.64.psy-ab..8.6.1865.0..0i22i10i30k1.188.hTcnlULGd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</dc:creator>
  <cp:lastModifiedBy>client5</cp:lastModifiedBy>
  <cp:revision>2</cp:revision>
  <dcterms:created xsi:type="dcterms:W3CDTF">2019-10-18T06:59:00Z</dcterms:created>
  <dcterms:modified xsi:type="dcterms:W3CDTF">2019-10-18T06:59:00Z</dcterms:modified>
</cp:coreProperties>
</file>